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3C" w:rsidRDefault="00B73A3C" w:rsidP="00E65936">
      <w:pPr>
        <w:spacing w:after="0" w:line="360" w:lineRule="auto"/>
        <w:jc w:val="center"/>
        <w:rPr>
          <w:rFonts w:ascii="Garamond" w:eastAsia="Times New Roman" w:hAnsi="Garamond" w:cs="Arial"/>
          <w:sz w:val="24"/>
          <w:szCs w:val="24"/>
          <w:lang w:val="hu-HU" w:eastAsia="hu-HU"/>
        </w:rPr>
      </w:pPr>
    </w:p>
    <w:p w:rsidR="0042587F" w:rsidRDefault="0042587F" w:rsidP="0042587F">
      <w:pPr>
        <w:spacing w:after="0" w:line="360" w:lineRule="auto"/>
        <w:jc w:val="center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</w:p>
    <w:p w:rsidR="00E65936" w:rsidRPr="00F122A5" w:rsidRDefault="00802D7D" w:rsidP="0042587F">
      <w:pPr>
        <w:spacing w:after="0" w:line="360" w:lineRule="auto"/>
        <w:jc w:val="center"/>
        <w:rPr>
          <w:rFonts w:asciiTheme="majorHAnsi" w:eastAsia="Times New Roman" w:hAnsiTheme="majorHAnsi" w:cs="Arabic Typesetting"/>
          <w:b/>
          <w:sz w:val="24"/>
          <w:szCs w:val="24"/>
          <w:lang w:val="hu-HU" w:eastAsia="hu-HU"/>
        </w:rPr>
      </w:pPr>
      <w:r w:rsidRPr="00F122A5">
        <w:rPr>
          <w:rFonts w:asciiTheme="majorHAnsi" w:eastAsia="Times New Roman" w:hAnsiTheme="majorHAnsi" w:cs="Arabic Typesetting"/>
          <w:b/>
          <w:sz w:val="24"/>
          <w:szCs w:val="24"/>
          <w:lang w:val="hu-HU" w:eastAsia="hu-HU"/>
        </w:rPr>
        <w:t>NYILATKOZAT</w:t>
      </w:r>
    </w:p>
    <w:p w:rsidR="00E65936" w:rsidRPr="0042587F" w:rsidRDefault="00E65936" w:rsidP="00E65936">
      <w:pPr>
        <w:spacing w:after="0" w:line="360" w:lineRule="auto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</w:p>
    <w:p w:rsidR="00B73A3C" w:rsidRPr="0042587F" w:rsidRDefault="00E65936" w:rsidP="00802D7D">
      <w:pPr>
        <w:spacing w:after="0" w:line="240" w:lineRule="auto"/>
        <w:jc w:val="both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Alulírott </w:t>
      </w:r>
      <w:proofErr w:type="spellStart"/>
      <w:r w:rsidR="0042587F"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Koba</w:t>
      </w:r>
      <w:proofErr w:type="spellEnd"/>
      <w:r w:rsidR="0042587F"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Gizella,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a </w:t>
      </w:r>
      <w:proofErr w:type="spellStart"/>
      <w:r w:rsidR="0042587F"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SteelOniX</w:t>
      </w:r>
      <w:proofErr w:type="spellEnd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Kft. nevében nyilatkozom, hogy az általam képviselt vállalkozás az ajánlatban</w:t>
      </w:r>
      <w:r w:rsidR="0042587F"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/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szereplő eszközök gyártásával, kereskedelmi forgalmával üzletszerűen foglalkozó, </w:t>
      </w:r>
      <w:r w:rsidR="00B73A3C"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bejegyzett fő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tevékenysége szerint </w:t>
      </w:r>
      <w:r w:rsidR="00B73A3C" w:rsidRPr="0042587F">
        <w:rPr>
          <w:rFonts w:asciiTheme="majorHAnsi" w:eastAsia="Times New Roman" w:hAnsiTheme="majorHAnsi" w:cs="Arabic Typesetting"/>
          <w:b/>
          <w:sz w:val="24"/>
          <w:szCs w:val="24"/>
          <w:lang w:val="hu-HU" w:eastAsia="hu-HU"/>
        </w:rPr>
        <w:t xml:space="preserve">TEÁOR-08: 25.62 Fémmegmunkálás </w:t>
      </w:r>
      <w:proofErr w:type="gramStart"/>
      <w:r w:rsidR="00B73A3C" w:rsidRPr="0042587F">
        <w:rPr>
          <w:rFonts w:asciiTheme="majorHAnsi" w:eastAsia="Times New Roman" w:hAnsiTheme="majorHAnsi" w:cs="Arabic Typesetting"/>
          <w:sz w:val="24"/>
          <w:szCs w:val="24"/>
          <w:u w:val="single"/>
          <w:lang w:val="hu-HU" w:eastAsia="hu-HU"/>
        </w:rPr>
        <w:t xml:space="preserve">gyártónak </w:t>
      </w:r>
      <w:r w:rsidR="00B73A3C"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,valamint</w:t>
      </w:r>
      <w:proofErr w:type="gramEnd"/>
      <w:r w:rsidR="00B73A3C"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kereskedőnek minősülő vállalkozás.</w:t>
      </w:r>
    </w:p>
    <w:p w:rsidR="00E65936" w:rsidRPr="0042587F" w:rsidRDefault="00E65936" w:rsidP="00802D7D">
      <w:pPr>
        <w:spacing w:after="0" w:line="240" w:lineRule="auto"/>
        <w:jc w:val="both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Az árajánlatban</w:t>
      </w:r>
      <w:r w:rsidR="0042587F"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/megrendelés visszaigazolásban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szereplő </w:t>
      </w:r>
      <w:proofErr w:type="gramStart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berendezések ,gépek</w:t>
      </w:r>
      <w:proofErr w:type="gramEnd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biztonsági követelményeiről és megfelelőségének tanúsításáról szóló 21/1998.(IV.17.) IKIM rendelet szerinti </w:t>
      </w:r>
      <w:r w:rsidRPr="0042587F">
        <w:rPr>
          <w:rFonts w:asciiTheme="majorHAnsi" w:eastAsia="Times New Roman" w:hAnsiTheme="majorHAnsi" w:cs="Arabic Typesetting"/>
          <w:sz w:val="24"/>
          <w:szCs w:val="24"/>
          <w:u w:val="single"/>
          <w:lang w:val="hu-HU" w:eastAsia="hu-HU"/>
        </w:rPr>
        <w:t>gyártói megfelelőségi nyilatkozattal rendelkeznek.</w:t>
      </w:r>
    </w:p>
    <w:p w:rsidR="00E65936" w:rsidRPr="0042587F" w:rsidRDefault="00E65936" w:rsidP="00E65936">
      <w:pPr>
        <w:spacing w:after="0" w:line="240" w:lineRule="auto"/>
        <w:jc w:val="both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</w:p>
    <w:p w:rsidR="00E65936" w:rsidRPr="0042587F" w:rsidRDefault="00E65936" w:rsidP="00E65936">
      <w:pPr>
        <w:spacing w:after="0" w:line="360" w:lineRule="auto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</w:p>
    <w:p w:rsidR="0042587F" w:rsidRPr="00F122A5" w:rsidRDefault="0042587F" w:rsidP="0042587F">
      <w:pPr>
        <w:spacing w:after="0" w:line="360" w:lineRule="auto"/>
        <w:jc w:val="center"/>
        <w:rPr>
          <w:rFonts w:asciiTheme="majorHAnsi" w:eastAsia="Times New Roman" w:hAnsiTheme="majorHAnsi" w:cs="Arabic Typesetting"/>
          <w:b/>
          <w:sz w:val="24"/>
          <w:szCs w:val="24"/>
          <w:lang w:val="hu-HU" w:eastAsia="hu-HU"/>
        </w:rPr>
      </w:pPr>
      <w:r w:rsidRPr="00F122A5">
        <w:rPr>
          <w:rFonts w:asciiTheme="majorHAnsi" w:eastAsia="Times New Roman" w:hAnsiTheme="majorHAnsi" w:cs="Arabic Typesetting"/>
          <w:b/>
          <w:sz w:val="24"/>
          <w:szCs w:val="24"/>
          <w:lang w:val="hu-HU" w:eastAsia="hu-HU"/>
        </w:rPr>
        <w:t>NYILATKOZAT</w:t>
      </w:r>
    </w:p>
    <w:p w:rsidR="0042587F" w:rsidRPr="0042587F" w:rsidRDefault="0042587F" w:rsidP="0042587F">
      <w:pPr>
        <w:spacing w:after="0" w:line="360" w:lineRule="auto"/>
        <w:jc w:val="center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</w:p>
    <w:p w:rsidR="0042587F" w:rsidRPr="0042587F" w:rsidRDefault="0042587F" w:rsidP="0042587F">
      <w:pPr>
        <w:spacing w:after="0" w:line="360" w:lineRule="auto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Alulírott </w:t>
      </w:r>
      <w:proofErr w:type="spellStart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Koba</w:t>
      </w:r>
      <w:proofErr w:type="spellEnd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Gizella, a 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</w:t>
      </w:r>
      <w:proofErr w:type="spellStart"/>
      <w:proofErr w:type="gramStart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SteelOniX</w:t>
      </w:r>
      <w:proofErr w:type="spellEnd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Kft.</w:t>
      </w:r>
      <w:proofErr w:type="gramEnd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nevében nyilatkozom, hogy az általunk szállított termékek újak, </w:t>
      </w:r>
      <w:r w:rsidR="00F122A5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melyeket 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megrendelés alapján </w:t>
      </w:r>
      <w:r w:rsidR="00F122A5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gyárt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u</w:t>
      </w:r>
      <w:r w:rsidR="00F122A5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nk le, illetve szerzünk</w:t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be.</w:t>
      </w:r>
    </w:p>
    <w:p w:rsidR="00E65936" w:rsidRPr="0042587F" w:rsidRDefault="00E65936" w:rsidP="00E65936">
      <w:pPr>
        <w:spacing w:after="0" w:line="360" w:lineRule="auto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</w:p>
    <w:p w:rsidR="0042587F" w:rsidRPr="00F122A5" w:rsidRDefault="0042587F" w:rsidP="0042587F">
      <w:pPr>
        <w:spacing w:after="0" w:line="360" w:lineRule="auto"/>
        <w:jc w:val="center"/>
        <w:rPr>
          <w:rFonts w:asciiTheme="majorHAnsi" w:eastAsia="Times New Roman" w:hAnsiTheme="majorHAnsi" w:cs="Arabic Typesetting"/>
          <w:b/>
          <w:sz w:val="24"/>
          <w:szCs w:val="24"/>
          <w:lang w:val="hu-HU" w:eastAsia="hu-HU"/>
        </w:rPr>
      </w:pPr>
      <w:r w:rsidRPr="00F122A5">
        <w:rPr>
          <w:rFonts w:asciiTheme="majorHAnsi" w:eastAsia="Times New Roman" w:hAnsiTheme="majorHAnsi" w:cs="Arabic Typesetting"/>
          <w:b/>
          <w:sz w:val="24"/>
          <w:szCs w:val="24"/>
          <w:lang w:val="hu-HU" w:eastAsia="hu-HU"/>
        </w:rPr>
        <w:t>NYILAKOZAT</w:t>
      </w:r>
    </w:p>
    <w:p w:rsidR="0042587F" w:rsidRPr="0042587F" w:rsidRDefault="0042587F" w:rsidP="0042587F">
      <w:pPr>
        <w:spacing w:after="0" w:line="360" w:lineRule="auto"/>
        <w:jc w:val="center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</w:p>
    <w:p w:rsidR="0042587F" w:rsidRPr="0042587F" w:rsidRDefault="0042587F" w:rsidP="0042587F">
      <w:pPr>
        <w:spacing w:after="0" w:line="360" w:lineRule="auto"/>
        <w:jc w:val="center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INOX eszközök Vámtarifa számáról:</w:t>
      </w:r>
    </w:p>
    <w:p w:rsidR="0042587F" w:rsidRPr="0042587F" w:rsidRDefault="0042587F" w:rsidP="0042587F">
      <w:pPr>
        <w:spacing w:after="0" w:line="360" w:lineRule="auto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Alulírott </w:t>
      </w:r>
      <w:proofErr w:type="spellStart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Koba</w:t>
      </w:r>
      <w:proofErr w:type="spellEnd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Gizella, a </w:t>
      </w:r>
      <w:proofErr w:type="spellStart"/>
      <w:proofErr w:type="gramStart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SteelOnix</w:t>
      </w:r>
      <w:proofErr w:type="spellEnd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 Kft.</w:t>
      </w:r>
      <w:proofErr w:type="gramEnd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hivatalos képviselője nyilatkozom, hogy az általunk gyártott/forgalmazott  rozsdamentes eszközöket, bútorokat vállalkozásunk 732393-s Vámtarifaszámon értékesíti.</w:t>
      </w:r>
    </w:p>
    <w:p w:rsidR="00E65936" w:rsidRPr="0042587F" w:rsidRDefault="00E65936" w:rsidP="00E65936">
      <w:pPr>
        <w:spacing w:after="0" w:line="360" w:lineRule="auto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</w:p>
    <w:p w:rsidR="00E65936" w:rsidRPr="0042587F" w:rsidRDefault="0042587F" w:rsidP="00E65936">
      <w:pPr>
        <w:spacing w:after="0" w:line="360" w:lineRule="auto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2015.05.21.</w:t>
      </w:r>
    </w:p>
    <w:p w:rsidR="00E65936" w:rsidRPr="0042587F" w:rsidRDefault="0042587F" w:rsidP="0042587F">
      <w:pPr>
        <w:spacing w:after="0" w:line="360" w:lineRule="auto"/>
        <w:jc w:val="center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                                                       </w:t>
      </w:r>
      <w:r w:rsidRPr="0042587F">
        <w:rPr>
          <w:rFonts w:asciiTheme="majorHAnsi" w:eastAsia="Times New Roman" w:hAnsiTheme="majorHAnsi" w:cs="Arabic Typesetting"/>
          <w:noProof/>
          <w:sz w:val="24"/>
          <w:szCs w:val="24"/>
          <w:lang w:eastAsia="en-GB"/>
        </w:rPr>
        <w:drawing>
          <wp:inline distT="0" distB="0" distL="0" distR="0" wp14:anchorId="43FECEC6" wp14:editId="214F5FE4">
            <wp:extent cx="1178439" cy="533400"/>
            <wp:effectExtent l="0" t="0" r="317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áírás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192" cy="52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 </w:t>
      </w:r>
    </w:p>
    <w:p w:rsidR="00E65936" w:rsidRPr="0042587F" w:rsidRDefault="00E65936" w:rsidP="00E65936">
      <w:pPr>
        <w:spacing w:after="0" w:line="360" w:lineRule="auto"/>
        <w:jc w:val="right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ab/>
      </w:r>
      <w:r w:rsidR="0042587F" w:rsidRPr="0042587F">
        <w:rPr>
          <w:rFonts w:asciiTheme="majorHAnsi" w:eastAsia="Times New Roman" w:hAnsiTheme="majorHAnsi" w:cs="Arabic Typesetting"/>
          <w:noProof/>
          <w:sz w:val="24"/>
          <w:szCs w:val="24"/>
          <w:lang w:eastAsia="en-GB"/>
        </w:rPr>
        <w:drawing>
          <wp:inline distT="0" distB="0" distL="0" distR="0" wp14:anchorId="7D1E7F1F" wp14:editId="15FFCB8A">
            <wp:extent cx="1066800" cy="596579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séte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55" cy="59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ab/>
      </w:r>
    </w:p>
    <w:p w:rsidR="00E65936" w:rsidRPr="0042587F" w:rsidRDefault="0042587F" w:rsidP="00E65936">
      <w:pPr>
        <w:spacing w:after="0" w:line="360" w:lineRule="auto"/>
        <w:jc w:val="center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                                                                                              </w:t>
      </w:r>
      <w:proofErr w:type="spellStart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Koba</w:t>
      </w:r>
      <w:proofErr w:type="spellEnd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Gizella</w:t>
      </w:r>
    </w:p>
    <w:p w:rsidR="00E65936" w:rsidRPr="0042587F" w:rsidRDefault="00E65936" w:rsidP="00E65936">
      <w:pPr>
        <w:spacing w:after="0" w:line="360" w:lineRule="auto"/>
        <w:jc w:val="center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                                                                                       </w:t>
      </w:r>
      <w:r w:rsidR="0042587F"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 xml:space="preserve">       </w:t>
      </w:r>
      <w:proofErr w:type="gramStart"/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>ügyvezető</w:t>
      </w:r>
      <w:proofErr w:type="gramEnd"/>
    </w:p>
    <w:p w:rsidR="00E65936" w:rsidRPr="0042587F" w:rsidRDefault="00E65936" w:rsidP="00E65936">
      <w:pPr>
        <w:spacing w:after="0" w:line="360" w:lineRule="auto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</w:p>
    <w:p w:rsidR="00E65936" w:rsidRPr="0042587F" w:rsidRDefault="00E65936" w:rsidP="00E65936">
      <w:pPr>
        <w:spacing w:after="0" w:line="360" w:lineRule="auto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</w:p>
    <w:p w:rsidR="002E211F" w:rsidRPr="00F122A5" w:rsidRDefault="00E65936" w:rsidP="00F122A5">
      <w:pPr>
        <w:spacing w:after="0" w:line="360" w:lineRule="auto"/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</w:pPr>
      <w:r w:rsidRPr="0042587F">
        <w:rPr>
          <w:rFonts w:asciiTheme="majorHAnsi" w:eastAsia="Times New Roman" w:hAnsiTheme="majorHAnsi" w:cs="Arabic Typesetting"/>
          <w:sz w:val="24"/>
          <w:szCs w:val="24"/>
          <w:lang w:val="hu-HU" w:eastAsia="hu-HU"/>
        </w:rPr>
        <w:tab/>
      </w:r>
      <w:bookmarkStart w:id="0" w:name="_GoBack"/>
      <w:bookmarkEnd w:id="0"/>
    </w:p>
    <w:sectPr w:rsidR="002E211F" w:rsidRPr="00F122A5" w:rsidSect="00AD59C2">
      <w:headerReference w:type="default" r:id="rId9"/>
      <w:pgSz w:w="11906" w:h="16838"/>
      <w:pgMar w:top="70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18" w:rsidRDefault="000D5018">
      <w:pPr>
        <w:spacing w:after="0" w:line="240" w:lineRule="auto"/>
      </w:pPr>
      <w:r>
        <w:separator/>
      </w:r>
    </w:p>
  </w:endnote>
  <w:endnote w:type="continuationSeparator" w:id="0">
    <w:p w:rsidR="000D5018" w:rsidRDefault="000D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18" w:rsidRDefault="000D5018">
      <w:pPr>
        <w:spacing w:after="0" w:line="240" w:lineRule="auto"/>
      </w:pPr>
      <w:r>
        <w:separator/>
      </w:r>
    </w:p>
  </w:footnote>
  <w:footnote w:type="continuationSeparator" w:id="0">
    <w:p w:rsidR="000D5018" w:rsidRDefault="000D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9C2" w:rsidRDefault="0042587F">
    <w:pPr>
      <w:pStyle w:val="lfej"/>
    </w:pPr>
    <w:r>
      <w:rPr>
        <w:noProof/>
        <w:lang w:val="en-GB" w:eastAsia="en-GB"/>
      </w:rPr>
      <w:drawing>
        <wp:inline distT="0" distB="0" distL="0" distR="0">
          <wp:extent cx="5760720" cy="863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36"/>
    <w:rsid w:val="000D5018"/>
    <w:rsid w:val="002E211F"/>
    <w:rsid w:val="003A7A3B"/>
    <w:rsid w:val="0042587F"/>
    <w:rsid w:val="00802D7D"/>
    <w:rsid w:val="00AE2CC8"/>
    <w:rsid w:val="00B73A3C"/>
    <w:rsid w:val="00E65936"/>
    <w:rsid w:val="00F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593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E65936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5936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4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5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593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E65936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6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5936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425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25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Gizmo</cp:lastModifiedBy>
  <cp:revision>2</cp:revision>
  <dcterms:created xsi:type="dcterms:W3CDTF">2015-05-21T09:01:00Z</dcterms:created>
  <dcterms:modified xsi:type="dcterms:W3CDTF">2015-05-21T09:01:00Z</dcterms:modified>
</cp:coreProperties>
</file>